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5A4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описания лучших практик </w:t>
      </w:r>
    </w:p>
    <w:p w14:paraId="0D2186F2">
      <w:pPr>
        <w:jc w:val="center"/>
        <w:rPr>
          <w:sz w:val="28"/>
          <w:szCs w:val="28"/>
        </w:rPr>
      </w:pPr>
    </w:p>
    <w:tbl>
      <w:tblPr>
        <w:tblStyle w:val="8"/>
        <w:tblW w:w="10458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3"/>
        <w:gridCol w:w="6865"/>
      </w:tblGrid>
      <w:tr w14:paraId="22B64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2977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Тематическое направление практики 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F4D46">
            <w:pP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eastAsia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  <w:t>Лучшая региональная практика НКО в сфере адаптивной физической культуры и спорта</w:t>
            </w:r>
          </w:p>
        </w:tc>
      </w:tr>
      <w:tr w14:paraId="122FE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A50D7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>Название практики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016124">
            <w:pP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  <w:t xml:space="preserve">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  <w:t>Гидрореабилитация и адаптивное плавание</w:t>
            </w:r>
          </w:p>
        </w:tc>
      </w:tr>
      <w:tr w14:paraId="2F75E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DF6E9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hint="default" w:eastAsia="Times New Roman" w:cs="Times New Roman"/>
                <w:i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>География реализации практик</w:t>
            </w: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>и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631EB">
            <w:pP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  <w:t>Ленинградская область</w:t>
            </w:r>
          </w:p>
        </w:tc>
      </w:tr>
      <w:tr w14:paraId="652FF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0B419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>Период внедрения практики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FBBAF">
            <w:pP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  <w:t xml:space="preserve"> С 2021 года</w:t>
            </w:r>
          </w:p>
        </w:tc>
      </w:tr>
      <w:tr w14:paraId="03872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4F9FE5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>Целевые группы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B60915">
            <w:pP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shd w:val="clear" w:fill="F4F4F4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shd w:val="clear" w:fill="F4F4F4"/>
              </w:rPr>
              <w:t xml:space="preserve">Дети с ограниченными возможностями здоровья, в том числе дети-инвалиды 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shd w:val="clear" w:fill="F4F4F4"/>
                <w:lang w:val="ru-RU"/>
              </w:rPr>
              <w:t>и их семьи</w:t>
            </w:r>
          </w:p>
          <w:p w14:paraId="081C9DF1">
            <w:pP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shd w:val="clear" w:fill="F4F4F4"/>
                <w:lang w:val="ru-RU" w:eastAsia="en-US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shd w:val="clear" w:fill="F4F4F4"/>
              </w:rPr>
              <w:t>Специалисты по адаптивной физической культуре и плаванию</w:t>
            </w:r>
          </w:p>
        </w:tc>
      </w:tr>
      <w:tr w14:paraId="6A708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ABABAF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>Проблемы и потребности целевых групп, решаемые в ходе применения практики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E63AF5">
            <w:pP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spacing w:val="0"/>
                <w:sz w:val="28"/>
                <w:szCs w:val="28"/>
                <w:shd w:val="clear" w:fill="FFFFFF"/>
                <w:lang w:val="ru-RU"/>
              </w:rPr>
              <w:t>Ф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spacing w:val="0"/>
                <w:sz w:val="28"/>
                <w:szCs w:val="28"/>
                <w:shd w:val="clear" w:fill="FFFFFF"/>
              </w:rPr>
              <w:t>рагментарность реабилитации, социальная изоляция и нехватка секций мешают детям с особенностями развития полноценно развиваться и интегрироваться в общество.</w:t>
            </w:r>
          </w:p>
        </w:tc>
      </w:tr>
      <w:tr w14:paraId="6EB85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3E6B81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>Социальная значимость и обоснованность  практики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AF28AE">
            <w:pPr>
              <w:rPr>
                <w:rFonts w:hint="default" w:ascii="Times New Roman" w:hAnsi="Times New Roman" w:cs="Times New Roman" w:eastAsiaTheme="minorHAnsi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spacing w:val="0"/>
                <w:sz w:val="28"/>
                <w:szCs w:val="28"/>
                <w:shd w:val="clear" w:fill="FFFFFF"/>
                <w:lang w:val="ru-RU"/>
              </w:rPr>
              <w:t>П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spacing w:val="0"/>
                <w:sz w:val="28"/>
                <w:szCs w:val="28"/>
                <w:shd w:val="clear" w:fill="FFFFFF"/>
              </w:rPr>
              <w:t>рограмма меняет качество жизни детей с особыми потребностями и их семей: создаёт условия для раскрытия потенциала ребёнка, помогает ему обрести активную социальную роль и почувствовать себя равноправным членом общества.</w:t>
            </w:r>
          </w:p>
        </w:tc>
      </w:tr>
      <w:tr w14:paraId="47C2D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7FBB6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>Цель практики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405328">
            <w:pP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eastAsia="en-US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shd w:val="clear" w:fill="F4F4F4"/>
              </w:rPr>
              <w:t>Доступная комплексная реабилитации и вовлечение в регулярные занятия адаптивной физической культурой семей с особыми потребностями</w:t>
            </w:r>
          </w:p>
        </w:tc>
      </w:tr>
      <w:tr w14:paraId="25E87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F961E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>Задачи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2B5D99">
            <w:pPr>
              <w:pStyle w:val="7"/>
              <w:numPr>
                <w:ilvl w:val="0"/>
                <w:numId w:val="0"/>
              </w:numPr>
              <w:bidi w:val="0"/>
              <w:ind w:leftChars="0" w:right="0" w:rightChars="0"/>
              <w:rPr>
                <w:rFonts w:hint="default" w:asciiTheme="minorHAnsi" w:hAnsiTheme="minorHAnsi"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hint="default" w:asciiTheme="minorHAnsi" w:hAnsiTheme="minorHAnsi" w:eastAsiaTheme="minorHAnsi" w:cstheme="minorBidi"/>
                <w:sz w:val="28"/>
                <w:szCs w:val="28"/>
                <w:lang w:val="ru-RU"/>
              </w:rPr>
              <w:t>1.</w:t>
            </w:r>
            <w:r>
              <w:rPr>
                <w:rFonts w:hint="default" w:asciiTheme="minorHAnsi" w:hAnsiTheme="minorHAnsi" w:eastAsiaTheme="minorHAnsi" w:cstheme="minorBidi"/>
                <w:sz w:val="28"/>
                <w:szCs w:val="28"/>
              </w:rPr>
              <w:t>Улучшить физическое и психоэмоциональное состояние детей с ОВЗ с помощью оздоровительных методик (гидрокинезотерапия, адаптивное плавание, арт</w:t>
            </w:r>
            <w:r>
              <w:rPr>
                <w:rFonts w:hint="default" w:asciiTheme="minorHAnsi" w:hAnsiTheme="minorHAnsi" w:eastAsiaTheme="minorHAnsi" w:cstheme="minorBidi"/>
                <w:sz w:val="28"/>
                <w:szCs w:val="28"/>
              </w:rPr>
              <w:noBreakHyphen/>
            </w:r>
            <w:r>
              <w:rPr>
                <w:rFonts w:hint="default" w:asciiTheme="minorHAnsi" w:hAnsiTheme="minorHAnsi" w:eastAsiaTheme="minorHAnsi" w:cstheme="minorBidi"/>
                <w:sz w:val="28"/>
                <w:szCs w:val="28"/>
              </w:rPr>
              <w:t>терапия и др.).</w:t>
            </w:r>
            <w:r>
              <w:rPr>
                <w:rFonts w:hint="default" w:asciiTheme="minorHAnsi" w:hAnsiTheme="minorHAnsi" w:eastAsiaTheme="minorHAnsi" w:cstheme="minorBidi"/>
                <w:sz w:val="28"/>
                <w:szCs w:val="28"/>
                <w:lang w:val="ru-RU"/>
              </w:rPr>
              <w:t xml:space="preserve"> 2.</w:t>
            </w:r>
            <w:r>
              <w:rPr>
                <w:rFonts w:hint="default" w:asciiTheme="minorHAnsi" w:hAnsiTheme="minorHAnsi" w:eastAsiaTheme="minorHAnsi" w:cstheme="minorBidi"/>
                <w:sz w:val="28"/>
                <w:szCs w:val="28"/>
              </w:rPr>
              <w:t>Повысить квалификацию специалистов по адаптивной физкультуре и плаванию в области гидрореабилитации.</w:t>
            </w:r>
            <w:r>
              <w:rPr>
                <w:rFonts w:hint="default" w:asciiTheme="minorHAnsi" w:hAnsiTheme="minorHAnsi" w:eastAsiaTheme="minorHAnsi" w:cstheme="minorBidi"/>
                <w:sz w:val="28"/>
                <w:szCs w:val="28"/>
                <w:lang w:val="ru-RU"/>
              </w:rPr>
              <w:t>3.</w:t>
            </w:r>
            <w:r>
              <w:rPr>
                <w:rFonts w:hint="default" w:asciiTheme="minorHAnsi" w:hAnsiTheme="minorHAnsi" w:eastAsiaTheme="minorHAnsi" w:cstheme="minorBidi"/>
                <w:sz w:val="28"/>
                <w:szCs w:val="28"/>
              </w:rPr>
              <w:t>Включить семьи с детьми с особыми потребностями в спортивную и социокультурную жизнь региона через проведение массовых мероприятий.</w:t>
            </w:r>
          </w:p>
        </w:tc>
      </w:tr>
      <w:tr w14:paraId="35566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59CA8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rFonts w:eastAsia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 xml:space="preserve">Краткое описание практики 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D5940">
            <w:pPr>
              <w:bidi w:val="0"/>
              <w:rPr>
                <w:rFonts w:hint="default"/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У</w:t>
            </w:r>
            <w:r>
              <w:rPr>
                <w:rFonts w:hint="default"/>
                <w:sz w:val="28"/>
                <w:szCs w:val="28"/>
              </w:rPr>
              <w:t>ниверсальная водная среда, где всё, что применяется на суше, переносится в бассейн:массаж;адаптивная физическая культура;растяжка</w:t>
            </w:r>
            <w:r>
              <w:rPr>
                <w:rFonts w:hint="default"/>
                <w:sz w:val="28"/>
                <w:szCs w:val="28"/>
                <w:lang w:val="ru-RU"/>
              </w:rPr>
              <w:t>,</w:t>
            </w:r>
            <w:r>
              <w:rPr>
                <w:rFonts w:hint="default"/>
                <w:sz w:val="28"/>
                <w:szCs w:val="28"/>
              </w:rPr>
              <w:t>сенсорная интеграция и сенсорная депривация;дефектологические занятия;виртуальная реальность в воде.</w:t>
            </w:r>
          </w:p>
          <w:p w14:paraId="0B1DC721">
            <w:pPr>
              <w:bidi w:val="0"/>
              <w:rPr>
                <w:rFonts w:hint="default"/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В</w:t>
            </w:r>
            <w:r>
              <w:rPr>
                <w:rFonts w:hint="default"/>
                <w:sz w:val="28"/>
                <w:szCs w:val="28"/>
              </w:rPr>
              <w:t>ода снижает нагрузку на суставы и мышцы, облегчае</w:t>
            </w:r>
            <w:r>
              <w:rPr>
                <w:rFonts w:hint="default"/>
                <w:sz w:val="28"/>
                <w:szCs w:val="28"/>
                <w:lang w:val="ru-RU"/>
              </w:rPr>
              <w:t>т</w:t>
            </w:r>
            <w:r>
              <w:rPr>
                <w:rFonts w:hint="default"/>
                <w:sz w:val="28"/>
                <w:szCs w:val="28"/>
              </w:rPr>
              <w:t> движения;уменьшается психоэмоциональное напряжение, появляется ощущение свободы и уверенности;</w:t>
            </w:r>
          </w:p>
          <w:p w14:paraId="15489718">
            <w:pPr>
              <w:bidi w:val="0"/>
              <w:rPr>
                <w:rFonts w:hint="default"/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</w:rPr>
              <w:t>каждая методика в водной среде даёт усиленный синергический эффект.Научный подход и инновационные технологии:программы разрабатываются с опорой на доказательные методики реабилитации;</w:t>
            </w:r>
          </w:p>
          <w:p w14:paraId="5CA3A185">
            <w:pPr>
              <w:bidi w:val="0"/>
              <w:rPr>
                <w:rFonts w:hint="default"/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</w:rPr>
              <w:t>внедряются инновационные решения — например, виртуальная реальность в водной среде для повышения вовлечённости и эффективности занятий;специалисты отслеживают прогресс и корректируют программу индивидуально для каждого ребёнка.</w:t>
            </w:r>
          </w:p>
          <w:p w14:paraId="3E4DA29E">
            <w:pPr>
              <w:bidi w:val="0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eastAsia="en-US"/>
              </w:rPr>
            </w:pPr>
            <w:r>
              <w:rPr>
                <w:rFonts w:hint="default"/>
                <w:sz w:val="28"/>
                <w:szCs w:val="28"/>
              </w:rPr>
              <w:t>Результат: дети укрепляют здоровье, обретают уверенность, расширяют круг общения, а семьи получают поддержку в комфортной и принимающей среде.</w:t>
            </w:r>
          </w:p>
        </w:tc>
      </w:tr>
      <w:tr w14:paraId="281A6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5F5E2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Достижения при реализации практики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C7B69">
            <w:pPr>
              <w:jc w:val="both"/>
              <w:rPr>
                <w:rFonts w:hint="default" w:ascii="Times New Roman" w:hAnsi="Times New Roman" w:cs="Times New Roman" w:eastAsiaTheme="minorHAnsi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</w:pPr>
            <w:r>
              <w:rPr>
                <w:rFonts w:hint="default" w:ascii="Times New Roman" w:hAnsi="Times New Roman" w:cs="Times New Roman" w:eastAsiaTheme="minorHAnsi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  <w:t>2023 год - 120 чел, 2024 год -270чел, 2025 год 340 чел</w:t>
            </w:r>
          </w:p>
          <w:p w14:paraId="63BE1BE1">
            <w:pPr>
              <w:jc w:val="both"/>
              <w:rPr>
                <w:rFonts w:hint="default" w:ascii="Times New Roman" w:hAnsi="Times New Roman" w:cs="Times New Roman" w:eastAsiaTheme="minorHAnsi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</w:pPr>
            <w:r>
              <w:rPr>
                <w:rFonts w:hint="default" w:ascii="Times New Roman" w:hAnsi="Times New Roman" w:cs="Times New Roman" w:eastAsiaTheme="minorHAnsi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  <w:t>Наша работа отмечена благодарственным письмом губернатора Ленинградской думы и депутатами Государственной Думы.</w:t>
            </w:r>
          </w:p>
          <w:p w14:paraId="0817CA22">
            <w:pPr>
              <w:jc w:val="both"/>
              <w:rPr>
                <w:rFonts w:hint="default" w:ascii="Times New Roman" w:hAnsi="Times New Roman" w:cs="Times New Roman" w:eastAsiaTheme="minorHAnsi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</w:pPr>
            <w:r>
              <w:rPr>
                <w:rFonts w:hint="default" w:ascii="Times New Roman" w:hAnsi="Times New Roman" w:cs="Times New Roman" w:eastAsiaTheme="minorHAnsi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  <w:t>Проекты вошли в ТОП 100 Фонда президентских грантов, ТОП 5 проектов Ленинградской области.</w:t>
            </w:r>
          </w:p>
        </w:tc>
      </w:tr>
      <w:tr w14:paraId="6724F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BF284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>Социальные результаты практики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10F401">
            <w:pPr>
              <w:jc w:val="both"/>
              <w:rPr>
                <w:rFonts w:hint="default" w:ascii="Times New Roman" w:hAnsi="Times New Roman" w:cs="Times New Roman" w:eastAsiaTheme="minorHAnsi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eastAsia="en-US"/>
              </w:rPr>
            </w:pPr>
            <w:r>
              <w:rPr>
                <w:rFonts w:hint="default" w:ascii="Times New Roman" w:hAnsi="Times New Roman" w:cs="Times New Roman" w:eastAsiaTheme="minorHAnsi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  <w:t>Основное достижение это качественные изменения в физическом и психомоторном состоянии наших благополучателей.</w:t>
            </w:r>
          </w:p>
        </w:tc>
      </w:tr>
      <w:tr w14:paraId="494CE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E0A3E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>Перспективы развития практики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28BA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i w:val="0"/>
                <w:i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/>
                <w:color w:val="auto"/>
                <w:kern w:val="0"/>
                <w:sz w:val="28"/>
                <w:szCs w:val="28"/>
                <w:lang w:val="en-US" w:eastAsia="zh-CN" w:bidi="ar"/>
              </w:rPr>
              <w:t>Расширением доступной гидрореабилитации</w:t>
            </w: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/>
                <w:color w:val="auto"/>
                <w:kern w:val="0"/>
                <w:sz w:val="28"/>
                <w:szCs w:val="28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</w:p>
          <w:p w14:paraId="097CB05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 w:val="0"/>
                <w:bCs/>
                <w:i w:val="0"/>
                <w:iCs/>
                <w:color w:val="auto"/>
                <w:kern w:val="0"/>
                <w:sz w:val="28"/>
                <w:szCs w:val="28"/>
                <w:lang w:val="ru-RU" w:eastAsia="en-US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/>
                <w:color w:val="auto"/>
                <w:kern w:val="0"/>
                <w:sz w:val="28"/>
                <w:szCs w:val="28"/>
                <w:lang w:val="ru-RU" w:eastAsia="zh-CN" w:bidi="ar"/>
              </w:rPr>
              <w:t>Р</w:t>
            </w: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азвития — внедрение современных VR-методик, которые помогают сделать реабилитацию более интересной, эмоционально комфортной и эффективной для ребёнка. </w:t>
            </w:r>
            <w:r>
              <w:rPr>
                <w:rFonts w:hint="default" w:ascii="Times New Roman" w:hAnsi="Times New Roman" w:eastAsia="SimSun" w:cs="Times New Roman"/>
                <w:b w:val="0"/>
                <w:bCs/>
                <w:i w:val="0"/>
                <w:iCs/>
                <w:color w:val="auto"/>
                <w:kern w:val="0"/>
                <w:sz w:val="28"/>
                <w:szCs w:val="28"/>
                <w:lang w:val="ru-RU" w:eastAsia="zh-CN" w:bidi="ar"/>
              </w:rPr>
              <w:t>Обучение специалистов.</w:t>
            </w:r>
          </w:p>
        </w:tc>
      </w:tr>
      <w:tr w14:paraId="688F9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CC007">
            <w:pPr>
              <w:tabs>
                <w:tab w:val="left" w:pos="993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Этапы внедрения эффективной практики с указанием сроков и алгоритма действий каждого этапа 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B89BA">
            <w:pPr>
              <w:numPr>
                <w:ilvl w:val="0"/>
                <w:numId w:val="1"/>
              </w:numPr>
              <w:rPr>
                <w:rFonts w:hint="default" w:ascii="Times New Roman" w:hAnsi="Times New Roman" w:cs="Times New Roman" w:eastAsiaTheme="minorHAnsi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eastAsia="en-US"/>
              </w:rPr>
            </w:pPr>
            <w:r>
              <w:rPr>
                <w:rFonts w:hint="default" w:ascii="Times New Roman" w:hAnsi="Times New Roman" w:cs="Times New Roman" w:eastAsiaTheme="minorHAnsi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  <w:t>Работа по созданию условий для проведения занятий.</w:t>
            </w:r>
          </w:p>
          <w:p w14:paraId="767084F6">
            <w:pPr>
              <w:numPr>
                <w:ilvl w:val="0"/>
                <w:numId w:val="1"/>
              </w:numPr>
              <w:rPr>
                <w:rFonts w:hint="default" w:ascii="Times New Roman" w:hAnsi="Times New Roman" w:cs="Times New Roman" w:eastAsiaTheme="minorHAnsi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eastAsia="en-US"/>
              </w:rPr>
            </w:pPr>
            <w:r>
              <w:rPr>
                <w:rFonts w:hint="default" w:ascii="Times New Roman" w:hAnsi="Times New Roman" w:cs="Times New Roman" w:eastAsiaTheme="minorHAnsi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  <w:t>Наработка материально-технической базы</w:t>
            </w:r>
          </w:p>
          <w:p w14:paraId="31E7C91F">
            <w:pPr>
              <w:numPr>
                <w:ilvl w:val="0"/>
                <w:numId w:val="1"/>
              </w:numPr>
              <w:rPr>
                <w:rFonts w:hint="default" w:ascii="Times New Roman" w:hAnsi="Times New Roman" w:cs="Times New Roman" w:eastAsiaTheme="minorHAnsi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eastAsia="en-US"/>
              </w:rPr>
            </w:pPr>
            <w:r>
              <w:rPr>
                <w:rFonts w:hint="default" w:ascii="Times New Roman" w:hAnsi="Times New Roman" w:cs="Times New Roman" w:eastAsiaTheme="minorHAnsi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  <w:t>Внедрение авторских программ</w:t>
            </w:r>
          </w:p>
          <w:p w14:paraId="0413C331">
            <w:pPr>
              <w:numPr>
                <w:ilvl w:val="0"/>
                <w:numId w:val="1"/>
              </w:numPr>
              <w:rPr>
                <w:rFonts w:hint="default" w:ascii="Times New Roman" w:hAnsi="Times New Roman" w:cs="Times New Roman" w:eastAsiaTheme="minorHAnsi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eastAsia="en-US"/>
              </w:rPr>
            </w:pPr>
            <w:r>
              <w:rPr>
                <w:rFonts w:hint="default" w:ascii="Times New Roman" w:hAnsi="Times New Roman" w:cs="Times New Roman" w:eastAsiaTheme="minorHAnsi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  <w:t>Проведение исследований и создание программ обучения специалистов</w:t>
            </w:r>
          </w:p>
        </w:tc>
      </w:tr>
      <w:tr w14:paraId="1B6D3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06FF0">
            <w:pPr>
              <w:tabs>
                <w:tab w:val="left" w:pos="993"/>
              </w:tabs>
              <w:spacing w:before="240" w:after="240"/>
              <w:contextualSpacing/>
              <w:rPr>
                <w:rFonts w:eastAsia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iCs/>
                <w:sz w:val="24"/>
                <w:szCs w:val="24"/>
                <w:lang w:eastAsia="en-US"/>
              </w:rPr>
              <w:t xml:space="preserve">Ресурсное обеспечение реализации практики 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32FC9">
            <w:pP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eastAsia="en-US"/>
              </w:rPr>
            </w:pPr>
            <w:r>
              <w:rPr>
                <w:rFonts w:hint="default" w:ascii="Times New Roman" w:hAnsi="Times New Roman" w:cs="Times New Roman" w:eastAsiaTheme="minorHAnsi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  <w:t>Мультидисципленарнай команда</w:t>
            </w:r>
            <w:r>
              <w:rPr>
                <w:rFonts w:hint="default" w:ascii="Times New Roman" w:hAnsi="Times New Roman" w:cs="Times New Roman" w:eastAsiaTheme="minorHAnsi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eastAsia="en-US"/>
              </w:rPr>
              <w:t>.</w:t>
            </w:r>
          </w:p>
        </w:tc>
      </w:tr>
      <w:tr w14:paraId="304E0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CF247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rFonts w:eastAsia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iCs/>
                <w:sz w:val="24"/>
                <w:szCs w:val="24"/>
                <w:lang w:eastAsia="en-US"/>
              </w:rPr>
              <w:t xml:space="preserve">Публичность 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177771">
            <w:pP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eastAsia="en-US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shd w:val="clear" w:fill="F4F4F4"/>
              </w:rPr>
              <w:t>АСИ 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fldChar w:fldCharType="begin"/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instrText xml:space="preserve"> HYPERLINK "https://asi.org.ru/news/2025/12/25/v-leningradskoj-oblasti-podgotovili-speczialistov-po-adaptivnomu-plavaniyu-dlya-pomoshhi-uchastnikam-svo/" \t "https://xn--80afcdbalict6afooklqi5o.xn--p1ai/application/_blank" </w:instrTex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t>https://asi.org.ru/news/2025/12/25/v-leningradskoj-oblasti-podgotovili-speczialistov-po-adaptivnomu-plavaniyu-dlya-pomoshhi-uchastnikam-svo/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fldChar w:fldCharType="end"/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shd w:val="clear" w:fill="F4F4F4"/>
              </w:rPr>
              <w:t>Репортаж НТВ 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fldChar w:fldCharType="begin"/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instrText xml:space="preserve"> HYPERLINK "https://www.ntv.ru/novosti/2803724/" \t "https://xn--80afcdbalict6afooklqi5o.xn--p1ai/application/_blank" </w:instrTex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t>https://www.ntv.ru/novosti/2803724/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fldChar w:fldCharType="end"/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shd w:val="clear" w:fill="F4F4F4"/>
              </w:rPr>
              <w:t>Репортаж Россия 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fldChar w:fldCharType="begin"/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instrText xml:space="preserve"> HYPERLINK "https://vk.com/video329673_456240492" \t "https://xn--80afcdbalict6afooklqi5o.xn--p1ai/application/_blank" </w:instrTex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t>https://vk.com/video329673_456240492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fldChar w:fldCharType="end"/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fldChar w:fldCharType="begin"/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instrText xml:space="preserve"> HYPERLINK "https://dzen.ru/video/watch/66c35d4518c27747a4dba6c5?utm_referrer=away.vk.com" \t "https://xn--80afcdbalict6afooklqi5o.xn--p1ai/application/_blank" </w:instrTex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t>https://dzen.ru/video/watch/66c35d4518c27747a4dba6c5?utm_referrer=away.vk.com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fldChar w:fldCharType="end"/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shd w:val="clear" w:fill="F4F4F4"/>
              </w:rPr>
              <w:t>АСИ 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fldChar w:fldCharType="begin"/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instrText xml:space="preserve"> HYPERLINK "https://www.asi.org.ru/2023/11/03/v-tosnenskom-rajone-lenoblasti-nuzhdayushhiesya-v-podderzhke-semi-mogut-projti-kompleksnuyu-rea" \t "https://xn--80afcdbalict6afooklqi5o.xn--p1ai/application/_blank" </w:instrTex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t>https://www.asi.org.ru/2023/11/03/v-tosnenskom-rajone-lenoblasti-nuzhdayushhiesya-v-podderzhke-semi-mogut-projti-kompleksnuyu-rea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fldChar w:fldCharType="end"/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shd w:val="clear" w:fill="F4F4F4"/>
              </w:rPr>
              <w:t> 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fldChar w:fldCharType="begin"/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instrText xml:space="preserve"> HYPERLINK "https://ok.lenobl.ru/ru/news/60772/" \t "https://xn--80afcdbalict6afooklqi5o.xn--p1ai/application/_blank" </w:instrTex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t>https://ok.lenobl.ru/ru/news/60772/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u w:val="none"/>
              </w:rPr>
              <w:fldChar w:fldCharType="end"/>
            </w:r>
          </w:p>
        </w:tc>
      </w:tr>
      <w:tr w14:paraId="5EF39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ECC00">
            <w:pPr>
              <w:tabs>
                <w:tab w:val="left" w:pos="993"/>
              </w:tabs>
              <w:spacing w:before="240" w:after="240"/>
              <w:contextualSpacing/>
              <w:rPr>
                <w:rFonts w:eastAsia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iCs/>
                <w:sz w:val="24"/>
                <w:szCs w:val="24"/>
                <w:lang w:eastAsia="en-US"/>
              </w:rPr>
              <w:t xml:space="preserve">Организации – партнеры 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4EC8D">
            <w:pP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eastAsia="en-US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shd w:val="clear" w:fill="F4F4F4"/>
              </w:rPr>
              <w:t xml:space="preserve">1.Администрация муниципального образования Тосненский район 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shd w:val="clear" w:fill="F4F4F4"/>
              </w:rPr>
              <w:t xml:space="preserve">2. Общественная палата Ленинградской области 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shd w:val="clear" w:fill="F4F4F4"/>
              </w:rPr>
              <w:t xml:space="preserve">3. Комитет по социальной защите населения Ленинградской области 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shd w:val="clear" w:fill="F4F4F4"/>
              </w:rPr>
              <w:t>4. Комитет по физической культуре и спорту Ленинградской области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lang w:val="ru-RU"/>
              </w:rPr>
              <w:t>5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shd w:val="clear" w:fill="F4F4F4"/>
              </w:rPr>
              <w:t>. Уполномоченный по правам детей Ленинградской области</w:t>
            </w:r>
          </w:p>
        </w:tc>
      </w:tr>
      <w:tr w14:paraId="5EC23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7033E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>Дополнительная информация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9427A8">
            <w:pP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eastAsia="en-US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shd w:val="clear" w:fill="F4F4F4"/>
              </w:rPr>
              <w:t>Мы оснащены современным оборудованием с доказанной эффективностью:</w:t>
            </w:r>
          </w:p>
        </w:tc>
      </w:tr>
      <w:tr w14:paraId="101DE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708A6">
            <w:pPr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Ключевые слова 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3A717">
            <w:pP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en-US" w:eastAsia="en-US"/>
              </w:rPr>
            </w:pPr>
          </w:p>
        </w:tc>
      </w:tr>
      <w:tr w14:paraId="7B87F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0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679B5">
            <w:pPr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eastAsia="en-US"/>
              </w:rPr>
            </w:pPr>
            <w:r>
              <w:rPr>
                <w:rFonts w:hint="default" w:ascii="Times New Roman" w:hAnsi="Times New Roman" w:cs="Times New Roman" w:eastAsiaTheme="minorHAnsi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eastAsia="en-US"/>
              </w:rPr>
              <w:t>Сведения об организации</w:t>
            </w:r>
          </w:p>
        </w:tc>
      </w:tr>
      <w:tr w14:paraId="0086E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01843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Название организации 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157EC">
            <w:pPr>
              <w:jc w:val="both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shd w:val="clear"/>
              </w:rPr>
              <w:t>РЕГИОНАЛЬНАЯ ОБЩЕСТВЕННАЯ ОРГАНИЗАЦИЯ ПОМОЩИ СЕМЬЯМ, ОКАЗАВШИМСЯ В ТРУДНОЙ ЖИЗНЕННОЙ СИТУАЦИИ, ДЕТЯМ И ВЗРОСЛЫМ С ОГРАНИЧЕННЫМИ ВОЗМОЖНОСТЯМИ ЗДОРОВЬЯ "ДОБРО ДЛЯ ВСЕХ"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shd w:val="clear" w:fill="F1F9F3"/>
                <w:lang w:val="en-US"/>
              </w:rPr>
              <w:t xml:space="preserve"> </w:t>
            </w:r>
          </w:p>
        </w:tc>
      </w:tr>
      <w:tr w14:paraId="191B9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F84A1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>Контактная информация: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BFE75C">
            <w:pP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shd w:val="clear"/>
              </w:rPr>
              <w:t xml:space="preserve">187047, Ленинградская обл, Тосненский р-н, г Никольское, ул Первомайская, д 3, помещ 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shd w:val="clear" w:fill="F1F9F3"/>
              </w:rPr>
              <w:t>1</w:t>
            </w:r>
          </w:p>
        </w:tc>
      </w:tr>
      <w:tr w14:paraId="63243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4A055C">
            <w:pPr>
              <w:pStyle w:val="14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и фактический адрес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BC6965">
            <w:pP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eastAsia="en-US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iCs/>
                <w:caps w:val="0"/>
                <w:strike w:val="0"/>
                <w:dstrike w:val="0"/>
                <w:color w:val="auto"/>
                <w:spacing w:val="0"/>
                <w:sz w:val="28"/>
                <w:szCs w:val="28"/>
                <w:shd w:val="clear"/>
              </w:rPr>
              <w:t>187047, Ленинградская обл, Тосненский р-н, г Никольское, ул Первомайская, д 3, помещ 1</w:t>
            </w:r>
          </w:p>
        </w:tc>
      </w:tr>
      <w:tr w14:paraId="68029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C5268">
            <w:pPr>
              <w:ind w:firstLine="601"/>
              <w:rPr>
                <w:rFonts w:eastAsia="Times New Roman" w:cs="Times New Roman"/>
                <w:i w:val="0"/>
                <w:iCs w:val="0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i w:val="0"/>
                <w:iCs w:val="0"/>
                <w:sz w:val="24"/>
                <w:szCs w:val="24"/>
                <w:lang w:eastAsia="en-US"/>
              </w:rPr>
              <w:t>руководитель организации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24B62">
            <w:pP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  <w:t>Краюшко Зоя Вячеславовна</w:t>
            </w:r>
          </w:p>
        </w:tc>
      </w:tr>
      <w:tr w14:paraId="5E4BB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F35CD">
            <w:pPr>
              <w:ind w:firstLine="601"/>
              <w:rPr>
                <w:rFonts w:eastAsia="Times New Roman" w:cs="Times New Roman"/>
                <w:i w:val="0"/>
                <w:iCs w:val="0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i w:val="0"/>
                <w:iCs w:val="0"/>
                <w:sz w:val="24"/>
                <w:szCs w:val="24"/>
                <w:lang w:eastAsia="en-US"/>
              </w:rPr>
              <w:t>контактное лицо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FD3C4">
            <w:pP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  <w:t>Пастухова Юлия Сергеевна</w:t>
            </w:r>
          </w:p>
        </w:tc>
      </w:tr>
      <w:tr w14:paraId="395A0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6A0208">
            <w:pPr>
              <w:ind w:firstLine="601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>электронная почта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CBD62">
            <w:pP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en-US" w:eastAsia="en-US"/>
              </w:rPr>
              <w:t>sonkodobro@yandex.ru</w:t>
            </w:r>
          </w:p>
        </w:tc>
      </w:tr>
      <w:tr w14:paraId="3D604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06E781">
            <w:pPr>
              <w:ind w:firstLine="601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сайт организации 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C2BFC">
            <w:pP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val="ru-RU" w:eastAsia="en-US"/>
              </w:rPr>
              <w:t>Добродлявсех.рф</w:t>
            </w:r>
          </w:p>
        </w:tc>
      </w:tr>
      <w:tr w14:paraId="5739F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78C86">
            <w:pPr>
              <w:ind w:firstLine="601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>соцсети организации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6CD97">
            <w:pPr>
              <w:rPr>
                <w:rFonts w:hint="default" w:ascii="Times New Roman" w:hAnsi="Times New Roman" w:cs="Times New Roman" w:eastAsiaTheme="minorHAnsi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eastAsia="en-US"/>
              </w:rPr>
            </w:pPr>
            <w:r>
              <w:rPr>
                <w:rFonts w:hint="default" w:ascii="Times New Roman" w:hAnsi="Times New Roman" w:cs="Times New Roman" w:eastAsiaTheme="minorHAnsi"/>
                <w:b w:val="0"/>
                <w:bCs/>
                <w:i w:val="0"/>
                <w:iCs/>
                <w:strike w:val="0"/>
                <w:dstrike w:val="0"/>
                <w:color w:val="auto"/>
                <w:sz w:val="28"/>
                <w:szCs w:val="28"/>
                <w:lang w:eastAsia="en-US"/>
              </w:rPr>
              <w:t>https://vk.com/dobrodlyavsekh</w:t>
            </w:r>
          </w:p>
        </w:tc>
      </w:tr>
    </w:tbl>
    <w:p w14:paraId="669FB5D1">
      <w:pPr>
        <w:jc w:val="both"/>
        <w:rPr>
          <w:sz w:val="28"/>
          <w:szCs w:val="28"/>
        </w:rPr>
      </w:pPr>
    </w:p>
    <w:p w14:paraId="180EF08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Даю согласие на публикацию (размещение) в Сборнике лучших практик «Меняем мир вместе», а также информационно - телекоммуникационной сети «Интернет» информации об _______________________________________________________</w:t>
      </w:r>
    </w:p>
    <w:p w14:paraId="102DA669">
      <w:pPr>
        <w:jc w:val="both"/>
        <w:rPr>
          <w:i/>
        </w:rPr>
      </w:pPr>
      <w:r>
        <w:rPr>
          <w:i/>
          <w:sz w:val="24"/>
          <w:szCs w:val="24"/>
        </w:rPr>
        <w:t xml:space="preserve">                                                                                     </w:t>
      </w:r>
      <w:r>
        <w:rPr>
          <w:i/>
        </w:rPr>
        <w:t>(наименование организации)</w:t>
      </w:r>
    </w:p>
    <w:p w14:paraId="4255D54C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и иной информации о практике, представленной для включения в Реестр лучших практик.</w:t>
      </w:r>
    </w:p>
    <w:p w14:paraId="71E4A590">
      <w:pPr>
        <w:jc w:val="both"/>
        <w:rPr>
          <w:sz w:val="24"/>
          <w:szCs w:val="24"/>
        </w:rPr>
      </w:pPr>
    </w:p>
    <w:p w14:paraId="6BB08729">
      <w:pPr>
        <w:jc w:val="both"/>
        <w:rPr>
          <w:sz w:val="24"/>
          <w:szCs w:val="24"/>
        </w:rPr>
      </w:pPr>
    </w:p>
    <w:p w14:paraId="6E3E27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организации  </w:t>
      </w:r>
      <w:r>
        <w:rPr>
          <w:i/>
          <w:sz w:val="24"/>
          <w:szCs w:val="24"/>
        </w:rPr>
        <w:t>_____________________      _____________________</w:t>
      </w:r>
    </w:p>
    <w:p w14:paraId="618BCF0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(подпись)                         (расшифровка подписи)</w:t>
      </w:r>
    </w:p>
    <w:p w14:paraId="6711878B">
      <w:pPr>
        <w:jc w:val="both"/>
      </w:pPr>
      <w:r>
        <w:rPr>
          <w:i/>
          <w:sz w:val="24"/>
          <w:szCs w:val="24"/>
        </w:rPr>
        <w:t xml:space="preserve">                                                   МП </w:t>
      </w:r>
    </w:p>
    <w:sectPr>
      <w:pgSz w:w="11906" w:h="16838"/>
      <w:pgMar w:top="851" w:right="850" w:bottom="851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7D83A2"/>
    <w:multiLevelType w:val="singleLevel"/>
    <w:tmpl w:val="527D83A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905"/>
    <w:rsid w:val="000A5726"/>
    <w:rsid w:val="001E284D"/>
    <w:rsid w:val="00226264"/>
    <w:rsid w:val="00293632"/>
    <w:rsid w:val="00554BC3"/>
    <w:rsid w:val="00593ECD"/>
    <w:rsid w:val="00725166"/>
    <w:rsid w:val="00791DA5"/>
    <w:rsid w:val="00831E66"/>
    <w:rsid w:val="008A4905"/>
    <w:rsid w:val="009B521B"/>
    <w:rsid w:val="00A12410"/>
    <w:rsid w:val="00A424B4"/>
    <w:rsid w:val="00C0410B"/>
    <w:rsid w:val="00C73BEF"/>
    <w:rsid w:val="00E21281"/>
    <w:rsid w:val="00E55379"/>
    <w:rsid w:val="00E975E5"/>
    <w:rsid w:val="00FF755E"/>
    <w:rsid w:val="2CB54163"/>
    <w:rsid w:val="69A17C94"/>
    <w:rsid w:val="6C34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basedOn w:val="1"/>
    <w:link w:val="11"/>
    <w:qFormat/>
    <w:uiPriority w:val="1"/>
    <w:pPr>
      <w:widowControl w:val="0"/>
      <w:autoSpaceDE w:val="0"/>
      <w:autoSpaceDN w:val="0"/>
      <w:ind w:left="319" w:right="2114"/>
      <w:jc w:val="center"/>
      <w:outlineLvl w:val="0"/>
    </w:pPr>
    <w:rPr>
      <w:b/>
      <w:bCs/>
      <w:sz w:val="28"/>
      <w:szCs w:val="28"/>
      <w:lang w:eastAsia="en-US"/>
    </w:rPr>
  </w:style>
  <w:style w:type="paragraph" w:styleId="3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semiHidden/>
    <w:unhideWhenUsed/>
    <w:uiPriority w:val="99"/>
    <w:rPr>
      <w:color w:val="0000FF"/>
      <w:u w:val="single"/>
    </w:rPr>
  </w:style>
  <w:style w:type="paragraph" w:styleId="7">
    <w:name w:val="Normal (Web)"/>
    <w:unhideWhenUsed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8">
    <w:name w:val="Table Grid"/>
    <w:basedOn w:val="5"/>
    <w:qFormat/>
    <w:uiPriority w:val="39"/>
    <w:rPr>
      <w:rFonts w:asciiTheme="minorHAnsi" w:hAnsiTheme="minorHAnsi" w:eastAsiaTheme="minorHAnsi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Символ сноски"/>
    <w:qFormat/>
    <w:uiPriority w:val="0"/>
  </w:style>
  <w:style w:type="paragraph" w:customStyle="1" w:styleId="10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1">
    <w:name w:val="Заголовок 1 Знак"/>
    <w:link w:val="2"/>
    <w:uiPriority w:val="1"/>
    <w:rPr>
      <w:rFonts w:ascii="Times New Roman" w:hAnsi="Times New Roman"/>
      <w:b/>
      <w:bCs/>
      <w:sz w:val="28"/>
      <w:szCs w:val="28"/>
    </w:rPr>
  </w:style>
  <w:style w:type="paragraph" w:styleId="12">
    <w:name w:val="List Paragraph"/>
    <w:basedOn w:val="1"/>
    <w:link w:val="13"/>
    <w:qFormat/>
    <w:uiPriority w:val="34"/>
    <w:pPr>
      <w:ind w:left="720"/>
      <w:contextualSpacing/>
      <w:jc w:val="both"/>
    </w:pPr>
    <w:rPr>
      <w:rFonts w:ascii="Calibri" w:hAnsi="Calibri" w:eastAsia="Calibri"/>
      <w:sz w:val="22"/>
      <w:szCs w:val="22"/>
      <w:lang w:eastAsia="en-US"/>
    </w:rPr>
  </w:style>
  <w:style w:type="character" w:customStyle="1" w:styleId="13">
    <w:name w:val="Абзац списка Знак"/>
    <w:link w:val="12"/>
    <w:qFormat/>
    <w:locked/>
    <w:uiPriority w:val="34"/>
    <w:rPr>
      <w:rFonts w:ascii="Calibri" w:hAnsi="Calibri" w:eastAsia="Calibri"/>
      <w:sz w:val="22"/>
      <w:szCs w:val="22"/>
    </w:rPr>
  </w:style>
  <w:style w:type="paragraph" w:styleId="14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15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540</Words>
  <Characters>3082</Characters>
  <Lines>25</Lines>
  <Paragraphs>7</Paragraphs>
  <TotalTime>9</TotalTime>
  <ScaleCrop>false</ScaleCrop>
  <LinksUpToDate>false</LinksUpToDate>
  <CharactersWithSpaces>3615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2023-07-12T12:17:00Z</dcterms:created>
  <dc:creator>Юламанова Клара Ганеевна</dc:creator>
  <cp:lastModifiedBy>Юлия Пастухова</cp:lastModifiedBy>
  <cp:lastPrinted>2026-06-23T08:20:36Z</cp:lastPrinted>
  <dcterms:modified xsi:type="dcterms:W3CDTF">2026-06-23T08:21:49Z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4A07DA91784342439D8CE7B85633CEB4_13</vt:lpwstr>
  </property>
</Properties>
</file>